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CellMar>
          <w:left w:w="108" w:type="dxa"/>
          <w:right w:w="108" w:type="dxa"/>
        </w:tblCellMar>
        <w:tblLook w:val="04A0"/>
      </w:tblPr>
      <w:tblGrid>
        <w:gridCol w:w="5355"/>
        <w:gridCol w:w="1260"/>
        <w:gridCol w:w="630"/>
        <w:gridCol w:w="3150"/>
        <w:gridCol w:w="3150"/>
        <w:gridCol w:w="3150"/>
        <w:gridCol w:w="3150"/>
      </w:tblGrid>
      <w:tr>
        <w:trPr/>
        <w:tc>
          <w:tcPr>
            <w:tcW w:w="19845" w:type="dxa"/>
            <w:gridSpan w:val="7"/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3.1. Движение материальных ценностей имущества казны на забалансовых счетах</w:t>
            </w:r>
          </w:p>
        </w:tc>
      </w:tr>
      <w:tr>
        <w:trPr>
          <w:trHeight w:val="60" w:hRule="atLeast"/>
        </w:trPr>
        <w:tc>
          <w:tcPr>
            <w:tcW w:w="661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Забалансовый счет</w:t>
            </w:r>
          </w:p>
        </w:tc>
        <w:tc>
          <w:tcPr>
            <w:tcW w:w="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стро-</w:t>
              <w:br/>
              <w:t>
ки</w:t>
            </w:r>
          </w:p>
        </w:tc>
        <w:tc>
          <w:tcPr>
            <w:tcW w:w="3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Наличие на начало года</w:t>
            </w:r>
          </w:p>
        </w:tc>
        <w:tc>
          <w:tcPr>
            <w:tcW w:w="3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3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Выбытие (уменьшение)</w:t>
            </w:r>
          </w:p>
        </w:tc>
        <w:tc>
          <w:tcPr>
            <w:tcW w:w="31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Наличие на конец года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</w:tc>
        <w:tc>
          <w:tcPr>
            <w:tcW w:w="63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5355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26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31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31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31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315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</w:tr>
      <w:tr>
        <w:trPr/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i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>1. Имущество, полученное в пользование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</w:t>
            </w:r>
          </w:p>
        </w:tc>
        <w:tc>
          <w:tcPr>
            <w:tcW w:w="63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930</w:t>
            </w:r>
          </w:p>
        </w:tc>
        <w:tc>
          <w:tcPr>
            <w:tcW w:w="315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недвижимое имущество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i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>2. Материальные ценности на хранении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на хранении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 признано активами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i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>4. Нефинансовые активы, переданные в доверительное управление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недвижимое имущество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i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>5. Имущество, переданное в возмездное пользование (аренду)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недвижимое имущество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i/>
                <w:b/>
                <w:sz w:val="16"/>
                <w:szCs w:val="16"/>
              </w:rPr>
            </w:pPr>
            <w:r>
              <w:rPr>
                <w:rFonts w:ascii="Arial" w:hAnsi="Arial"/>
                <w:i/>
                <w:b/>
                <w:sz w:val="16"/>
                <w:szCs w:val="16"/>
              </w:rPr>
              <w:t>6. Имущество, переданное в безвозмездное пользование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  <w:br/>
              <w:t>
по льготной аренде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</w:t>
              <w:br/>
              <w:t>
недвижимое имущество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иным основаниям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 них: </w:t>
              <w:br/>
              <w:t>
недвижимое имущество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